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1A2" w:rsidRPr="00CA390A" w:rsidRDefault="005901A2" w:rsidP="005901A2">
      <w:pPr>
        <w:autoSpaceDE w:val="0"/>
        <w:autoSpaceDN w:val="0"/>
        <w:adjustRightInd w:val="0"/>
        <w:spacing w:line="276" w:lineRule="auto"/>
        <w:jc w:val="center"/>
        <w:rPr>
          <w:rFonts w:ascii="Arial" w:hAnsi="Arial" w:cs="Arial"/>
          <w:b/>
          <w:color w:val="5B9BD5" w:themeColor="accent1"/>
        </w:rPr>
      </w:pPr>
      <w:r w:rsidRPr="00CA390A">
        <w:rPr>
          <w:rFonts w:ascii="Arial" w:hAnsi="Arial" w:cs="Arial"/>
          <w:b/>
          <w:color w:val="5B9BD5" w:themeColor="accent1"/>
        </w:rPr>
        <w:t>FORMATO N° 2 FICHA TÉCNICA DEL CURSO</w:t>
      </w:r>
    </w:p>
    <w:p w:rsidR="005901A2" w:rsidRPr="00CA390A" w:rsidRDefault="005901A2" w:rsidP="005901A2">
      <w:pPr>
        <w:jc w:val="center"/>
        <w:rPr>
          <w:rFonts w:ascii="Arial" w:hAnsi="Arial" w:cs="Arial"/>
          <w:b/>
        </w:rPr>
      </w:pPr>
    </w:p>
    <w:tbl>
      <w:tblPr>
        <w:tblStyle w:val="Tablaconcuadrcula"/>
        <w:tblW w:w="0" w:type="auto"/>
        <w:tblLook w:val="04A0" w:firstRow="1" w:lastRow="0" w:firstColumn="1" w:lastColumn="0" w:noHBand="0" w:noVBand="1"/>
      </w:tblPr>
      <w:tblGrid>
        <w:gridCol w:w="2186"/>
        <w:gridCol w:w="1325"/>
        <w:gridCol w:w="1640"/>
        <w:gridCol w:w="293"/>
        <w:gridCol w:w="1861"/>
        <w:gridCol w:w="1523"/>
      </w:tblGrid>
      <w:tr w:rsidR="005901A2" w:rsidRPr="00CA390A" w:rsidTr="00573552">
        <w:trPr>
          <w:trHeight w:val="425"/>
        </w:trPr>
        <w:tc>
          <w:tcPr>
            <w:tcW w:w="2186" w:type="dxa"/>
            <w:shd w:val="clear" w:color="auto" w:fill="BDD6EE" w:themeFill="accent1" w:themeFillTint="66"/>
            <w:vAlign w:val="center"/>
          </w:tcPr>
          <w:p w:rsidR="005901A2" w:rsidRPr="00CA390A" w:rsidRDefault="005901A2" w:rsidP="00573552">
            <w:pPr>
              <w:jc w:val="center"/>
              <w:rPr>
                <w:rFonts w:ascii="Arial" w:hAnsi="Arial" w:cs="Arial"/>
                <w:b/>
              </w:rPr>
            </w:pPr>
            <w:r w:rsidRPr="00CA390A">
              <w:rPr>
                <w:rFonts w:ascii="Arial" w:hAnsi="Arial" w:cs="Arial"/>
                <w:b/>
              </w:rPr>
              <w:t>Nombre del Curso</w:t>
            </w:r>
          </w:p>
          <w:p w:rsidR="005901A2" w:rsidRPr="00CA390A" w:rsidRDefault="005901A2" w:rsidP="00573552">
            <w:pPr>
              <w:jc w:val="center"/>
              <w:rPr>
                <w:rFonts w:ascii="Arial" w:hAnsi="Arial" w:cs="Arial"/>
                <w:b/>
              </w:rPr>
            </w:pPr>
          </w:p>
        </w:tc>
        <w:tc>
          <w:tcPr>
            <w:tcW w:w="1325" w:type="dxa"/>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t>Código del Curso</w:t>
            </w:r>
          </w:p>
          <w:p w:rsidR="005901A2" w:rsidRPr="00CA390A" w:rsidRDefault="005901A2" w:rsidP="00573552">
            <w:pPr>
              <w:rPr>
                <w:rFonts w:ascii="Arial" w:hAnsi="Arial" w:cs="Arial"/>
                <w:b/>
              </w:rPr>
            </w:pPr>
          </w:p>
          <w:p w:rsidR="005901A2" w:rsidRPr="00CA390A" w:rsidRDefault="005901A2" w:rsidP="00573552">
            <w:pPr>
              <w:rPr>
                <w:rFonts w:ascii="Arial" w:hAnsi="Arial" w:cs="Arial"/>
                <w:color w:val="FF0000"/>
              </w:rPr>
            </w:pPr>
          </w:p>
        </w:tc>
        <w:tc>
          <w:tcPr>
            <w:tcW w:w="1933" w:type="dxa"/>
            <w:gridSpan w:val="2"/>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t>Programa Académico</w:t>
            </w:r>
          </w:p>
        </w:tc>
        <w:tc>
          <w:tcPr>
            <w:tcW w:w="1861" w:type="dxa"/>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t>Fecha de producción</w:t>
            </w:r>
          </w:p>
          <w:p w:rsidR="005901A2" w:rsidRPr="00CA390A" w:rsidRDefault="005901A2" w:rsidP="00573552">
            <w:pPr>
              <w:rPr>
                <w:rFonts w:ascii="Arial" w:hAnsi="Arial" w:cs="Arial"/>
                <w:b/>
              </w:rPr>
            </w:pPr>
          </w:p>
          <w:p w:rsidR="005901A2" w:rsidRPr="00CA390A" w:rsidRDefault="005901A2" w:rsidP="00573552">
            <w:pPr>
              <w:rPr>
                <w:rFonts w:ascii="Arial" w:hAnsi="Arial" w:cs="Arial"/>
                <w:b/>
              </w:rPr>
            </w:pPr>
            <w:r w:rsidRPr="00CA390A">
              <w:rPr>
                <w:rFonts w:ascii="Arial" w:hAnsi="Arial" w:cs="Arial"/>
                <w:b/>
              </w:rPr>
              <w:t xml:space="preserve"> </w:t>
            </w:r>
          </w:p>
        </w:tc>
        <w:tc>
          <w:tcPr>
            <w:tcW w:w="1523" w:type="dxa"/>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t>Versión</w:t>
            </w:r>
          </w:p>
          <w:p w:rsidR="005901A2" w:rsidRPr="00CA390A" w:rsidRDefault="005901A2" w:rsidP="00573552">
            <w:pPr>
              <w:rPr>
                <w:rFonts w:ascii="Arial" w:hAnsi="Arial" w:cs="Arial"/>
                <w:b/>
              </w:rPr>
            </w:pPr>
          </w:p>
          <w:p w:rsidR="005901A2" w:rsidRPr="00CA390A" w:rsidRDefault="005901A2" w:rsidP="00573552">
            <w:pPr>
              <w:rPr>
                <w:rFonts w:ascii="Arial" w:hAnsi="Arial" w:cs="Arial"/>
                <w:b/>
              </w:rPr>
            </w:pPr>
          </w:p>
        </w:tc>
      </w:tr>
      <w:tr w:rsidR="005901A2" w:rsidRPr="00CA390A" w:rsidTr="00573552">
        <w:trPr>
          <w:trHeight w:val="814"/>
        </w:trPr>
        <w:tc>
          <w:tcPr>
            <w:tcW w:w="2186" w:type="dxa"/>
            <w:shd w:val="clear" w:color="auto" w:fill="BDD6EE" w:themeFill="accent1" w:themeFillTint="66"/>
          </w:tcPr>
          <w:p w:rsidR="005901A2" w:rsidRPr="00CA390A" w:rsidRDefault="00664750" w:rsidP="00F87AD3">
            <w:pPr>
              <w:jc w:val="both"/>
              <w:rPr>
                <w:rFonts w:ascii="Arial" w:hAnsi="Arial" w:cs="Arial"/>
              </w:rPr>
            </w:pPr>
            <w:r>
              <w:rPr>
                <w:rFonts w:ascii="Arial" w:hAnsi="Arial" w:cs="Arial"/>
              </w:rPr>
              <w:t>Gerencia financiera</w:t>
            </w:r>
            <w:r w:rsidR="00F87AD3" w:rsidRPr="00CA390A">
              <w:rPr>
                <w:rFonts w:ascii="Arial" w:hAnsi="Arial" w:cs="Arial"/>
              </w:rPr>
              <w:t xml:space="preserve"> </w:t>
            </w:r>
          </w:p>
        </w:tc>
        <w:tc>
          <w:tcPr>
            <w:tcW w:w="1325" w:type="dxa"/>
            <w:shd w:val="clear" w:color="auto" w:fill="BDD6EE" w:themeFill="accent1" w:themeFillTint="66"/>
          </w:tcPr>
          <w:p w:rsidR="005901A2" w:rsidRPr="00CA390A" w:rsidRDefault="005901A2" w:rsidP="00B8279D">
            <w:pPr>
              <w:rPr>
                <w:rFonts w:ascii="Arial" w:hAnsi="Arial" w:cs="Arial"/>
              </w:rPr>
            </w:pPr>
          </w:p>
        </w:tc>
        <w:tc>
          <w:tcPr>
            <w:tcW w:w="1933" w:type="dxa"/>
            <w:gridSpan w:val="2"/>
            <w:shd w:val="clear" w:color="auto" w:fill="BDD6EE" w:themeFill="accent1" w:themeFillTint="66"/>
          </w:tcPr>
          <w:p w:rsidR="005901A2" w:rsidRPr="00664750" w:rsidRDefault="00664750" w:rsidP="00F87AD3">
            <w:pPr>
              <w:jc w:val="both"/>
              <w:rPr>
                <w:rFonts w:ascii="Arial" w:hAnsi="Arial" w:cs="Arial"/>
              </w:rPr>
            </w:pPr>
            <w:r>
              <w:rPr>
                <w:rFonts w:ascii="Arial" w:eastAsia="Calibri" w:hAnsi="Arial" w:cs="Arial"/>
              </w:rPr>
              <w:t>A</w:t>
            </w:r>
            <w:r w:rsidRPr="00664750">
              <w:rPr>
                <w:rFonts w:ascii="Arial" w:eastAsia="Calibri" w:hAnsi="Arial" w:cs="Arial"/>
              </w:rPr>
              <w:t>dministración turística</w:t>
            </w:r>
          </w:p>
        </w:tc>
        <w:tc>
          <w:tcPr>
            <w:tcW w:w="1861" w:type="dxa"/>
            <w:shd w:val="clear" w:color="auto" w:fill="BDD6EE" w:themeFill="accent1" w:themeFillTint="66"/>
          </w:tcPr>
          <w:p w:rsidR="005901A2" w:rsidRPr="00CA390A" w:rsidRDefault="005901A2" w:rsidP="00573552">
            <w:pPr>
              <w:rPr>
                <w:rFonts w:ascii="Arial" w:hAnsi="Arial" w:cs="Arial"/>
              </w:rPr>
            </w:pPr>
          </w:p>
        </w:tc>
        <w:tc>
          <w:tcPr>
            <w:tcW w:w="1523" w:type="dxa"/>
            <w:shd w:val="clear" w:color="auto" w:fill="BDD6EE" w:themeFill="accent1" w:themeFillTint="66"/>
          </w:tcPr>
          <w:p w:rsidR="005901A2" w:rsidRPr="00CA390A" w:rsidRDefault="005901A2" w:rsidP="00573552">
            <w:pPr>
              <w:rPr>
                <w:rFonts w:ascii="Arial" w:hAnsi="Arial" w:cs="Arial"/>
              </w:rPr>
            </w:pPr>
          </w:p>
        </w:tc>
      </w:tr>
      <w:tr w:rsidR="005901A2" w:rsidRPr="00CA390A" w:rsidTr="00B8279D">
        <w:trPr>
          <w:trHeight w:val="300"/>
        </w:trPr>
        <w:tc>
          <w:tcPr>
            <w:tcW w:w="2186" w:type="dxa"/>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t>Experto temático (autor)</w:t>
            </w:r>
          </w:p>
        </w:tc>
        <w:tc>
          <w:tcPr>
            <w:tcW w:w="6642" w:type="dxa"/>
            <w:gridSpan w:val="5"/>
          </w:tcPr>
          <w:p w:rsidR="005901A2" w:rsidRPr="00CA390A" w:rsidRDefault="00D52F26" w:rsidP="00573552">
            <w:pPr>
              <w:rPr>
                <w:rFonts w:ascii="Arial" w:hAnsi="Arial" w:cs="Arial"/>
              </w:rPr>
            </w:pPr>
            <w:r w:rsidRPr="00CA390A">
              <w:rPr>
                <w:rFonts w:ascii="Arial" w:hAnsi="Arial" w:cs="Arial"/>
              </w:rPr>
              <w:t>Rene Carlos Paredes Stave</w:t>
            </w:r>
          </w:p>
        </w:tc>
      </w:tr>
      <w:tr w:rsidR="005901A2" w:rsidRPr="00CA390A" w:rsidTr="00573552">
        <w:trPr>
          <w:trHeight w:val="258"/>
        </w:trPr>
        <w:tc>
          <w:tcPr>
            <w:tcW w:w="2186" w:type="dxa"/>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t>Número de Créditos del curso</w:t>
            </w:r>
          </w:p>
        </w:tc>
        <w:tc>
          <w:tcPr>
            <w:tcW w:w="2965" w:type="dxa"/>
            <w:gridSpan w:val="2"/>
          </w:tcPr>
          <w:p w:rsidR="005901A2" w:rsidRPr="00CA390A" w:rsidRDefault="005901A2" w:rsidP="00573552">
            <w:pPr>
              <w:jc w:val="center"/>
              <w:rPr>
                <w:rFonts w:ascii="Arial" w:hAnsi="Arial" w:cs="Arial"/>
                <w:b/>
              </w:rPr>
            </w:pPr>
            <w:r w:rsidRPr="00CA390A">
              <w:rPr>
                <w:rFonts w:ascii="Arial" w:hAnsi="Arial" w:cs="Arial"/>
                <w:b/>
              </w:rPr>
              <w:t xml:space="preserve">Trabajo independiente </w:t>
            </w:r>
          </w:p>
          <w:p w:rsidR="005901A2" w:rsidRPr="00CA390A" w:rsidRDefault="005901A2" w:rsidP="00573552">
            <w:pPr>
              <w:jc w:val="center"/>
              <w:rPr>
                <w:rFonts w:ascii="Arial" w:hAnsi="Arial" w:cs="Arial"/>
                <w:b/>
              </w:rPr>
            </w:pPr>
            <w:r w:rsidRPr="00CA390A">
              <w:rPr>
                <w:rFonts w:ascii="Arial" w:hAnsi="Arial" w:cs="Arial"/>
                <w:b/>
              </w:rPr>
              <w:t>(individual y grupal)</w:t>
            </w:r>
          </w:p>
        </w:tc>
        <w:tc>
          <w:tcPr>
            <w:tcW w:w="3677" w:type="dxa"/>
            <w:gridSpan w:val="3"/>
          </w:tcPr>
          <w:p w:rsidR="005901A2" w:rsidRPr="00CA390A" w:rsidRDefault="005901A2" w:rsidP="00573552">
            <w:pPr>
              <w:jc w:val="center"/>
              <w:rPr>
                <w:rFonts w:ascii="Arial" w:hAnsi="Arial" w:cs="Arial"/>
                <w:b/>
              </w:rPr>
            </w:pPr>
            <w:r w:rsidRPr="00CA390A">
              <w:rPr>
                <w:rFonts w:ascii="Arial" w:hAnsi="Arial" w:cs="Arial"/>
                <w:b/>
              </w:rPr>
              <w:t>Acompañamiento tutorial</w:t>
            </w:r>
          </w:p>
        </w:tc>
      </w:tr>
      <w:tr w:rsidR="005901A2" w:rsidRPr="00CA390A" w:rsidTr="002622B1">
        <w:trPr>
          <w:trHeight w:val="244"/>
        </w:trPr>
        <w:tc>
          <w:tcPr>
            <w:tcW w:w="2186" w:type="dxa"/>
            <w:shd w:val="clear" w:color="auto" w:fill="BDD6EE" w:themeFill="accent1" w:themeFillTint="66"/>
          </w:tcPr>
          <w:p w:rsidR="005901A2" w:rsidRPr="00CA390A" w:rsidRDefault="0084426C" w:rsidP="008F6D56">
            <w:pPr>
              <w:jc w:val="center"/>
              <w:rPr>
                <w:rFonts w:ascii="Arial" w:hAnsi="Arial" w:cs="Arial"/>
                <w:b/>
                <w:color w:val="FF0000"/>
              </w:rPr>
            </w:pPr>
            <w:r w:rsidRPr="00CA390A">
              <w:rPr>
                <w:rFonts w:ascii="Arial" w:hAnsi="Arial" w:cs="Arial"/>
                <w:b/>
                <w:color w:val="FF0000"/>
              </w:rPr>
              <w:t>3</w:t>
            </w:r>
          </w:p>
        </w:tc>
        <w:tc>
          <w:tcPr>
            <w:tcW w:w="2965" w:type="dxa"/>
            <w:gridSpan w:val="2"/>
          </w:tcPr>
          <w:p w:rsidR="005901A2" w:rsidRPr="00CA390A" w:rsidRDefault="002622B1" w:rsidP="00573552">
            <w:pPr>
              <w:jc w:val="center"/>
              <w:rPr>
                <w:rFonts w:ascii="Arial" w:hAnsi="Arial" w:cs="Arial"/>
                <w:color w:val="FF0000"/>
              </w:rPr>
            </w:pPr>
            <w:r w:rsidRPr="00CA390A">
              <w:rPr>
                <w:rFonts w:ascii="Arial" w:hAnsi="Arial" w:cs="Arial"/>
                <w:color w:val="FF0000"/>
              </w:rPr>
              <w:t>126</w:t>
            </w:r>
          </w:p>
        </w:tc>
        <w:tc>
          <w:tcPr>
            <w:tcW w:w="3677" w:type="dxa"/>
            <w:gridSpan w:val="3"/>
          </w:tcPr>
          <w:p w:rsidR="005901A2" w:rsidRPr="00CA390A" w:rsidRDefault="002622B1" w:rsidP="00573552">
            <w:pPr>
              <w:jc w:val="center"/>
              <w:rPr>
                <w:rFonts w:ascii="Arial" w:hAnsi="Arial" w:cs="Arial"/>
                <w:color w:val="FF0000"/>
              </w:rPr>
            </w:pPr>
            <w:r w:rsidRPr="00CA390A">
              <w:rPr>
                <w:rFonts w:ascii="Arial" w:hAnsi="Arial" w:cs="Arial"/>
                <w:color w:val="FF0000"/>
              </w:rPr>
              <w:t>18</w:t>
            </w:r>
          </w:p>
        </w:tc>
      </w:tr>
      <w:tr w:rsidR="005901A2" w:rsidRPr="00CA390A" w:rsidTr="00573552">
        <w:trPr>
          <w:trHeight w:val="516"/>
        </w:trPr>
        <w:tc>
          <w:tcPr>
            <w:tcW w:w="2186" w:type="dxa"/>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t xml:space="preserve">Competencias Transversales o Genéricas </w:t>
            </w:r>
          </w:p>
          <w:p w:rsidR="005901A2" w:rsidRPr="00CA390A" w:rsidRDefault="005901A2" w:rsidP="00573552">
            <w:pPr>
              <w:rPr>
                <w:rFonts w:ascii="Arial" w:hAnsi="Arial" w:cs="Arial"/>
                <w:b/>
              </w:rPr>
            </w:pPr>
          </w:p>
          <w:p w:rsidR="005901A2" w:rsidRPr="00CA390A" w:rsidRDefault="005901A2" w:rsidP="00573552">
            <w:pPr>
              <w:jc w:val="both"/>
              <w:rPr>
                <w:rFonts w:ascii="Arial" w:hAnsi="Arial" w:cs="Arial"/>
                <w:b/>
              </w:rPr>
            </w:pPr>
          </w:p>
        </w:tc>
        <w:tc>
          <w:tcPr>
            <w:tcW w:w="6642" w:type="dxa"/>
            <w:gridSpan w:val="5"/>
          </w:tcPr>
          <w:p w:rsidR="00B0327A" w:rsidRPr="008D1D78" w:rsidRDefault="00B0327A" w:rsidP="00B0327A">
            <w:pPr>
              <w:pStyle w:val="Prrafodelista"/>
              <w:numPr>
                <w:ilvl w:val="0"/>
                <w:numId w:val="7"/>
              </w:numPr>
              <w:ind w:left="340"/>
              <w:jc w:val="both"/>
              <w:rPr>
                <w:rFonts w:ascii="Arial" w:hAnsi="Arial" w:cs="Arial"/>
                <w:lang w:val="es-CO"/>
              </w:rPr>
            </w:pPr>
            <w:r w:rsidRPr="008D1D78">
              <w:rPr>
                <w:rFonts w:ascii="Arial" w:hAnsi="Arial" w:cs="Arial"/>
                <w:lang w:val="es-CO"/>
              </w:rPr>
              <w:t>Desarrollar en los estudiantes, una mentalidad estratégica que le permita operar con una visión innovadora en la búsqueda de generación de valor en las organizaciones.</w:t>
            </w:r>
          </w:p>
          <w:p w:rsidR="00B0327A" w:rsidRPr="008D1D78" w:rsidRDefault="00B0327A" w:rsidP="00B0327A">
            <w:pPr>
              <w:ind w:left="340"/>
              <w:jc w:val="both"/>
              <w:rPr>
                <w:rFonts w:ascii="Arial" w:hAnsi="Arial" w:cs="Arial"/>
                <w:lang w:val="es-CO" w:eastAsia="es-CO"/>
              </w:rPr>
            </w:pPr>
          </w:p>
          <w:p w:rsidR="00B0327A" w:rsidRPr="008D1D78" w:rsidRDefault="00B0327A" w:rsidP="00B0327A">
            <w:pPr>
              <w:pStyle w:val="Prrafodelista"/>
              <w:numPr>
                <w:ilvl w:val="0"/>
                <w:numId w:val="7"/>
              </w:numPr>
              <w:ind w:left="340"/>
              <w:jc w:val="both"/>
              <w:rPr>
                <w:rFonts w:ascii="Arial" w:hAnsi="Arial" w:cs="Arial"/>
                <w:lang w:val="es-CO"/>
              </w:rPr>
            </w:pPr>
            <w:r w:rsidRPr="008D1D78">
              <w:rPr>
                <w:rFonts w:ascii="Arial" w:hAnsi="Arial" w:cs="Arial"/>
                <w:lang w:val="es-CO"/>
              </w:rPr>
              <w:t>Reconocer la importancia que representa, dentro de las organizaciones tener una ventaja competitiva que la diferencie del resto de sus competidores, la cual se manifiesta por medio de la rentabilidad obtenida en un lapso de tiempo respectivamente amplio.</w:t>
            </w:r>
          </w:p>
          <w:p w:rsidR="005901A2" w:rsidRPr="00CA390A" w:rsidRDefault="005901A2" w:rsidP="00B0327A">
            <w:pPr>
              <w:pStyle w:val="Prrafodelista"/>
              <w:ind w:left="360"/>
              <w:jc w:val="both"/>
              <w:rPr>
                <w:rFonts w:ascii="Arial" w:hAnsi="Arial" w:cs="Arial"/>
              </w:rPr>
            </w:pPr>
          </w:p>
        </w:tc>
      </w:tr>
      <w:tr w:rsidR="005901A2" w:rsidRPr="00CA390A" w:rsidTr="00573552">
        <w:trPr>
          <w:trHeight w:val="516"/>
        </w:trPr>
        <w:tc>
          <w:tcPr>
            <w:tcW w:w="2186" w:type="dxa"/>
            <w:shd w:val="clear" w:color="auto" w:fill="BDD6EE" w:themeFill="accent1" w:themeFillTint="66"/>
          </w:tcPr>
          <w:p w:rsidR="005901A2" w:rsidRPr="00CA390A" w:rsidRDefault="005901A2" w:rsidP="00573552">
            <w:pPr>
              <w:rPr>
                <w:rFonts w:ascii="Arial" w:hAnsi="Arial" w:cs="Arial"/>
                <w:b/>
                <w:color w:val="FF0000"/>
              </w:rPr>
            </w:pPr>
            <w:r w:rsidRPr="00CA390A">
              <w:rPr>
                <w:rFonts w:ascii="Arial" w:hAnsi="Arial" w:cs="Arial"/>
                <w:b/>
              </w:rPr>
              <w:t xml:space="preserve">Competencias Específicas </w:t>
            </w:r>
          </w:p>
        </w:tc>
        <w:tc>
          <w:tcPr>
            <w:tcW w:w="6642" w:type="dxa"/>
            <w:gridSpan w:val="5"/>
          </w:tcPr>
          <w:p w:rsidR="00B0327A" w:rsidRPr="008D1D78" w:rsidRDefault="00B0327A" w:rsidP="00B0327A">
            <w:pPr>
              <w:pStyle w:val="Prrafodelista"/>
              <w:numPr>
                <w:ilvl w:val="0"/>
                <w:numId w:val="8"/>
              </w:numPr>
              <w:ind w:left="340"/>
              <w:jc w:val="both"/>
              <w:rPr>
                <w:rFonts w:ascii="Arial" w:hAnsi="Arial" w:cs="Arial"/>
              </w:rPr>
            </w:pPr>
            <w:r w:rsidRPr="008D1D78">
              <w:rPr>
                <w:rFonts w:ascii="Arial" w:hAnsi="Arial" w:cs="Arial"/>
              </w:rPr>
              <w:t>Establecer la importancia de las fuerzas inductoras de valor, como el componente del negocio que impulsa a la empresa en una dirección determinada.</w:t>
            </w:r>
          </w:p>
          <w:p w:rsidR="00B0327A" w:rsidRPr="008D1D78" w:rsidRDefault="00B0327A" w:rsidP="00B0327A">
            <w:pPr>
              <w:pStyle w:val="Prrafodelista"/>
              <w:ind w:left="340"/>
              <w:jc w:val="both"/>
              <w:rPr>
                <w:rFonts w:ascii="Arial" w:hAnsi="Arial" w:cs="Arial"/>
              </w:rPr>
            </w:pPr>
          </w:p>
          <w:p w:rsidR="005901A2" w:rsidRDefault="00B0327A" w:rsidP="00B0327A">
            <w:pPr>
              <w:pStyle w:val="Prrafodelista"/>
              <w:numPr>
                <w:ilvl w:val="0"/>
                <w:numId w:val="8"/>
              </w:numPr>
              <w:ind w:left="340"/>
              <w:rPr>
                <w:rFonts w:ascii="Arial" w:hAnsi="Arial" w:cs="Arial"/>
              </w:rPr>
            </w:pPr>
            <w:r w:rsidRPr="008D1D78">
              <w:rPr>
                <w:rFonts w:ascii="Arial" w:hAnsi="Arial" w:cs="Arial"/>
              </w:rPr>
              <w:t>Analizar y evaluar qué aspectos de una fuerza inductora de valor o componente de un negocio, son realmente relevantes en la toma de decisiones, las cuales afectan el futuro de las empresas o entes económicos.</w:t>
            </w:r>
          </w:p>
          <w:p w:rsidR="00B0327A" w:rsidRPr="00B0327A" w:rsidRDefault="00B0327A" w:rsidP="00B0327A">
            <w:pPr>
              <w:pStyle w:val="Prrafodelista"/>
              <w:rPr>
                <w:rFonts w:ascii="Arial" w:hAnsi="Arial" w:cs="Arial"/>
              </w:rPr>
            </w:pPr>
          </w:p>
          <w:p w:rsidR="00B0327A" w:rsidRPr="00CA390A" w:rsidRDefault="00B0327A" w:rsidP="00B0327A">
            <w:pPr>
              <w:pStyle w:val="Prrafodelista"/>
              <w:ind w:left="340"/>
              <w:rPr>
                <w:rFonts w:ascii="Arial" w:hAnsi="Arial" w:cs="Arial"/>
              </w:rPr>
            </w:pPr>
          </w:p>
        </w:tc>
      </w:tr>
      <w:tr w:rsidR="005901A2" w:rsidRPr="00CA390A" w:rsidTr="00573552">
        <w:trPr>
          <w:trHeight w:val="516"/>
        </w:trPr>
        <w:tc>
          <w:tcPr>
            <w:tcW w:w="2186" w:type="dxa"/>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t xml:space="preserve">Introducción y Descripción del Curso </w:t>
            </w:r>
          </w:p>
        </w:tc>
        <w:tc>
          <w:tcPr>
            <w:tcW w:w="6642" w:type="dxa"/>
            <w:gridSpan w:val="5"/>
          </w:tcPr>
          <w:p w:rsidR="00621061" w:rsidRPr="00FB583C" w:rsidRDefault="00621061" w:rsidP="002702A5">
            <w:pPr>
              <w:jc w:val="both"/>
              <w:rPr>
                <w:rFonts w:ascii="Arial" w:hAnsi="Arial" w:cs="Arial"/>
              </w:rPr>
            </w:pPr>
            <w:r w:rsidRPr="00FB583C">
              <w:rPr>
                <w:rFonts w:ascii="Arial" w:hAnsi="Arial" w:cs="Arial"/>
              </w:rPr>
              <w:t xml:space="preserve">El curso de </w:t>
            </w:r>
            <w:r w:rsidR="002E740A" w:rsidRPr="00FB583C">
              <w:rPr>
                <w:rFonts w:ascii="Arial" w:hAnsi="Arial" w:cs="Arial"/>
              </w:rPr>
              <w:t>Gerencia financiera</w:t>
            </w:r>
            <w:r w:rsidRPr="00FB583C">
              <w:rPr>
                <w:rFonts w:ascii="Arial" w:hAnsi="Arial" w:cs="Arial"/>
              </w:rPr>
              <w:t xml:space="preserve">, está dividido en tres unidades académicas; </w:t>
            </w:r>
            <w:r w:rsidR="002E740A" w:rsidRPr="00FB583C">
              <w:rPr>
                <w:rFonts w:ascii="Arial" w:hAnsi="Arial" w:cs="Arial"/>
              </w:rPr>
              <w:t>Creación de valor, la ventaja competitiva y costo de capital.</w:t>
            </w:r>
          </w:p>
          <w:p w:rsidR="00621061" w:rsidRPr="00FB583C" w:rsidRDefault="00621061" w:rsidP="002702A5">
            <w:pPr>
              <w:jc w:val="both"/>
              <w:rPr>
                <w:rFonts w:ascii="Arial" w:hAnsi="Arial" w:cs="Arial"/>
                <w:highlight w:val="yellow"/>
              </w:rPr>
            </w:pPr>
          </w:p>
          <w:p w:rsidR="00621061" w:rsidRPr="00FB583C" w:rsidRDefault="00621061" w:rsidP="002702A5">
            <w:pPr>
              <w:jc w:val="both"/>
              <w:rPr>
                <w:rFonts w:ascii="Arial" w:hAnsi="Arial" w:cs="Arial"/>
              </w:rPr>
            </w:pPr>
            <w:r w:rsidRPr="00FB583C">
              <w:rPr>
                <w:rFonts w:ascii="Arial" w:hAnsi="Arial" w:cs="Arial"/>
              </w:rPr>
              <w:t xml:space="preserve">La primera unidad </w:t>
            </w:r>
            <w:r w:rsidR="00181EF1" w:rsidRPr="00FB583C">
              <w:rPr>
                <w:rFonts w:ascii="Arial" w:hAnsi="Arial" w:cs="Arial"/>
              </w:rPr>
              <w:t>establece</w:t>
            </w:r>
            <w:r w:rsidR="002E740A" w:rsidRPr="00FB583C">
              <w:rPr>
                <w:rFonts w:ascii="Arial" w:hAnsi="Arial" w:cs="Arial"/>
              </w:rPr>
              <w:t xml:space="preserve"> la relevancia de la creación de valor dentro de las empresa, como una forma de generar un valor agregado para los inversionistas dentro de una compañía, por medio del uso eficiente de los recursos comprometidos en el capital de trabajo, además </w:t>
            </w:r>
            <w:r w:rsidR="00181EF1" w:rsidRPr="00FB583C">
              <w:rPr>
                <w:rFonts w:ascii="Arial" w:hAnsi="Arial" w:cs="Arial"/>
              </w:rPr>
              <w:t>se abordara el estudio de los inductores de valor; Operativos y financieros, dentro de los cuales están; Margen de EBITDA, productividad del capital de trabajo, productividad del activo fijo, escudo fiscal y administración del riesgo.</w:t>
            </w:r>
          </w:p>
          <w:p w:rsidR="00621061" w:rsidRPr="00FB583C" w:rsidRDefault="00621061" w:rsidP="002702A5">
            <w:pPr>
              <w:jc w:val="both"/>
              <w:rPr>
                <w:rFonts w:ascii="Arial" w:hAnsi="Arial" w:cs="Arial"/>
                <w:highlight w:val="yellow"/>
              </w:rPr>
            </w:pPr>
          </w:p>
          <w:p w:rsidR="00181EF1" w:rsidRPr="00FB583C" w:rsidRDefault="00621061" w:rsidP="002702A5">
            <w:pPr>
              <w:jc w:val="both"/>
              <w:rPr>
                <w:rFonts w:ascii="Arial" w:eastAsia="Calibri" w:hAnsi="Arial" w:cs="Arial"/>
              </w:rPr>
            </w:pPr>
            <w:r w:rsidRPr="00FB583C">
              <w:rPr>
                <w:rFonts w:ascii="Arial" w:hAnsi="Arial" w:cs="Arial"/>
              </w:rPr>
              <w:t xml:space="preserve">La segunda unidad, </w:t>
            </w:r>
            <w:r w:rsidR="00181EF1" w:rsidRPr="00FB583C">
              <w:rPr>
                <w:rFonts w:ascii="Arial" w:hAnsi="Arial" w:cs="Arial"/>
              </w:rPr>
              <w:t>a</w:t>
            </w:r>
            <w:r w:rsidR="00181EF1" w:rsidRPr="00FB583C">
              <w:rPr>
                <w:rFonts w:ascii="Arial" w:eastAsia="Calibri" w:hAnsi="Arial" w:cs="Arial"/>
              </w:rPr>
              <w:t>naliza la importancia del direccionamiento estratégico financiero en la consecución del objetivo básico financiero, abordaran temáticas relacionadas con la ventaja competitiva, como la estrategia y direccionamiento estratégico, fuerzas inductoras de valor y la definición y diseño del negocio.</w:t>
            </w:r>
          </w:p>
          <w:p w:rsidR="00181EF1" w:rsidRDefault="00181EF1" w:rsidP="002702A5">
            <w:pPr>
              <w:jc w:val="both"/>
              <w:rPr>
                <w:rFonts w:ascii="Arial" w:hAnsi="Arial" w:cs="Arial"/>
                <w:highlight w:val="yellow"/>
              </w:rPr>
            </w:pPr>
          </w:p>
          <w:p w:rsidR="00181EF1" w:rsidRDefault="00181EF1" w:rsidP="002702A5">
            <w:pPr>
              <w:jc w:val="both"/>
              <w:rPr>
                <w:rFonts w:ascii="Arial" w:hAnsi="Arial" w:cs="Arial"/>
                <w:highlight w:val="yellow"/>
              </w:rPr>
            </w:pPr>
          </w:p>
          <w:p w:rsidR="00B0327A" w:rsidRDefault="00B0327A" w:rsidP="002702A5">
            <w:pPr>
              <w:jc w:val="both"/>
              <w:rPr>
                <w:rFonts w:ascii="Arial" w:hAnsi="Arial" w:cs="Arial"/>
                <w:highlight w:val="yellow"/>
              </w:rPr>
            </w:pPr>
          </w:p>
          <w:p w:rsidR="00B0327A" w:rsidRDefault="00B0327A" w:rsidP="002702A5">
            <w:pPr>
              <w:jc w:val="both"/>
              <w:rPr>
                <w:rFonts w:ascii="Arial" w:hAnsi="Arial" w:cs="Arial"/>
                <w:highlight w:val="yellow"/>
              </w:rPr>
            </w:pPr>
          </w:p>
          <w:p w:rsidR="005901A2" w:rsidRDefault="00181EF1" w:rsidP="00FB583C">
            <w:pPr>
              <w:jc w:val="both"/>
              <w:rPr>
                <w:rFonts w:ascii="Arial" w:hAnsi="Arial" w:cs="Arial"/>
              </w:rPr>
            </w:pPr>
            <w:r w:rsidRPr="00FB583C">
              <w:rPr>
                <w:rFonts w:ascii="Arial" w:hAnsi="Arial" w:cs="Arial"/>
              </w:rPr>
              <w:t xml:space="preserve">La tercera unidad, denominada “Costo de capital y EVA”, </w:t>
            </w:r>
            <w:r w:rsidR="00FB583C" w:rsidRPr="00FB583C">
              <w:rPr>
                <w:rFonts w:ascii="Arial" w:hAnsi="Arial" w:cs="Arial"/>
              </w:rPr>
              <w:t>aborda el estudio de temáticas como; Generalidades del costo de capital, usos del costo de capital, costo de fuentes específicas, la estructura financiera, formar de calcular el EVA, estrategias para el mejorar el EVA, análisis de los componentes del EVA y las dificultades para su cálculo, lo cual permite d</w:t>
            </w:r>
            <w:r w:rsidRPr="00FB583C">
              <w:rPr>
                <w:rFonts w:ascii="Arial" w:hAnsi="Arial" w:cs="Arial"/>
              </w:rPr>
              <w:t xml:space="preserve">esarrollar los aspectos  básicos para estructurar el concepto de costo de capital promedio ponderado y su aplicación en la definición de la estructura financiera de la empresa.  </w:t>
            </w:r>
          </w:p>
          <w:p w:rsidR="00FB583C" w:rsidRPr="00664750" w:rsidRDefault="00FB583C" w:rsidP="00FB583C">
            <w:pPr>
              <w:jc w:val="both"/>
              <w:rPr>
                <w:rFonts w:ascii="Arial" w:hAnsi="Arial" w:cs="Arial"/>
                <w:highlight w:val="yellow"/>
              </w:rPr>
            </w:pPr>
          </w:p>
        </w:tc>
      </w:tr>
      <w:tr w:rsidR="005901A2" w:rsidRPr="00CA390A" w:rsidTr="00573552">
        <w:trPr>
          <w:trHeight w:val="516"/>
        </w:trPr>
        <w:tc>
          <w:tcPr>
            <w:tcW w:w="2186" w:type="dxa"/>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lastRenderedPageBreak/>
              <w:t>Justificación</w:t>
            </w:r>
          </w:p>
        </w:tc>
        <w:tc>
          <w:tcPr>
            <w:tcW w:w="6642" w:type="dxa"/>
            <w:gridSpan w:val="5"/>
          </w:tcPr>
          <w:p w:rsidR="005901A2" w:rsidRDefault="00BC000C" w:rsidP="00BC000C">
            <w:pPr>
              <w:ind w:left="28" w:hanging="708"/>
              <w:jc w:val="both"/>
              <w:rPr>
                <w:rFonts w:ascii="Arial" w:eastAsia="Calibri" w:hAnsi="Arial" w:cs="Arial"/>
              </w:rPr>
            </w:pPr>
            <w:r>
              <w:rPr>
                <w:rFonts w:asciiTheme="minorHAnsi" w:eastAsia="Calibri" w:hAnsiTheme="minorHAnsi" w:cs="Arial"/>
              </w:rPr>
              <w:t xml:space="preserve">                </w:t>
            </w:r>
            <w:r w:rsidRPr="00BC000C">
              <w:rPr>
                <w:rFonts w:ascii="Arial" w:eastAsia="Calibri" w:hAnsi="Arial" w:cs="Arial"/>
              </w:rPr>
              <w:t xml:space="preserve">Se inicia la asignatura con el estudio de la relevancia que tiene la adopción de una mentalidad estratégica en el fomento de una cultura gerencial del  valor, el conocimiento del sistema de creación de valor y su relación con  los inductores de valor. Se enfatiza después los temas relacionados con la estructura financiera y el costo del capital como herramientas en el proceso de valoración para terminar con una revisión general de los métodos para la valoración de las </w:t>
            </w:r>
            <w:r w:rsidR="00B0327A">
              <w:rPr>
                <w:rFonts w:ascii="Arial" w:eastAsia="Calibri" w:hAnsi="Arial" w:cs="Arial"/>
              </w:rPr>
              <w:t>e</w:t>
            </w:r>
            <w:bookmarkStart w:id="0" w:name="_GoBack"/>
            <w:bookmarkEnd w:id="0"/>
            <w:r w:rsidRPr="00BC000C">
              <w:rPr>
                <w:rFonts w:ascii="Arial" w:eastAsia="Calibri" w:hAnsi="Arial" w:cs="Arial"/>
              </w:rPr>
              <w:t>mpresas.</w:t>
            </w:r>
          </w:p>
          <w:p w:rsidR="00B0327A" w:rsidRPr="00BC000C" w:rsidRDefault="00B0327A" w:rsidP="00BC000C">
            <w:pPr>
              <w:ind w:left="28" w:hanging="708"/>
              <w:jc w:val="both"/>
              <w:rPr>
                <w:rFonts w:ascii="Arial" w:hAnsi="Arial" w:cs="Arial"/>
              </w:rPr>
            </w:pPr>
          </w:p>
        </w:tc>
      </w:tr>
      <w:tr w:rsidR="005901A2" w:rsidRPr="00CA390A" w:rsidTr="00573552">
        <w:trPr>
          <w:trHeight w:val="516"/>
        </w:trPr>
        <w:tc>
          <w:tcPr>
            <w:tcW w:w="2186" w:type="dxa"/>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t>Propósitos de Formación</w:t>
            </w:r>
          </w:p>
        </w:tc>
        <w:tc>
          <w:tcPr>
            <w:tcW w:w="6642" w:type="dxa"/>
            <w:gridSpan w:val="5"/>
          </w:tcPr>
          <w:p w:rsidR="00B0327A" w:rsidRDefault="00B0327A" w:rsidP="00B0327A">
            <w:pPr>
              <w:jc w:val="both"/>
              <w:rPr>
                <w:rFonts w:ascii="Arial" w:hAnsi="Arial" w:cs="Arial"/>
              </w:rPr>
            </w:pPr>
            <w:r>
              <w:rPr>
                <w:rFonts w:ascii="Arial" w:hAnsi="Arial" w:cs="Arial"/>
              </w:rPr>
              <w:t>Formar un estudiante, que tenga las competencias necesarias para realizar el análisis y evaluación de los aspectos fundamentales, que determinan la selección de una fuerza de valor determinante en los procesos de adopción de una mentalidad estratégica, enfocada en la creación de valor en las empresas.</w:t>
            </w:r>
          </w:p>
          <w:p w:rsidR="005901A2" w:rsidRPr="00CA390A" w:rsidRDefault="005901A2" w:rsidP="00316523">
            <w:pPr>
              <w:rPr>
                <w:rFonts w:ascii="Arial" w:hAnsi="Arial" w:cs="Arial"/>
              </w:rPr>
            </w:pPr>
          </w:p>
        </w:tc>
      </w:tr>
      <w:tr w:rsidR="005901A2" w:rsidRPr="00CA390A" w:rsidTr="00573552">
        <w:trPr>
          <w:trHeight w:val="1003"/>
        </w:trPr>
        <w:tc>
          <w:tcPr>
            <w:tcW w:w="2186" w:type="dxa"/>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t>Unidades de aprendizaje que conforman el curso</w:t>
            </w:r>
          </w:p>
        </w:tc>
        <w:tc>
          <w:tcPr>
            <w:tcW w:w="6642" w:type="dxa"/>
            <w:gridSpan w:val="5"/>
          </w:tcPr>
          <w:p w:rsidR="005901A2" w:rsidRPr="00CA390A" w:rsidRDefault="005901A2" w:rsidP="00573552">
            <w:pPr>
              <w:rPr>
                <w:rFonts w:ascii="Arial" w:hAnsi="Arial" w:cs="Arial"/>
              </w:rPr>
            </w:pPr>
            <w:r w:rsidRPr="00CA390A">
              <w:rPr>
                <w:rFonts w:ascii="Arial" w:hAnsi="Arial" w:cs="Arial"/>
              </w:rPr>
              <w:t xml:space="preserve">Unidad 1: </w:t>
            </w:r>
            <w:r w:rsidR="00BC000C">
              <w:rPr>
                <w:rFonts w:ascii="Arial" w:eastAsia="Calibri" w:hAnsi="Arial" w:cs="Arial"/>
              </w:rPr>
              <w:t>Creación de valor.</w:t>
            </w:r>
          </w:p>
          <w:p w:rsidR="005901A2" w:rsidRPr="00CA390A" w:rsidRDefault="005901A2" w:rsidP="00573552">
            <w:pPr>
              <w:rPr>
                <w:rFonts w:ascii="Arial" w:hAnsi="Arial" w:cs="Arial"/>
              </w:rPr>
            </w:pPr>
            <w:r w:rsidRPr="00CA390A">
              <w:rPr>
                <w:rFonts w:ascii="Arial" w:hAnsi="Arial" w:cs="Arial"/>
              </w:rPr>
              <w:t xml:space="preserve">Unidad 2: </w:t>
            </w:r>
            <w:r w:rsidR="00BC000C">
              <w:rPr>
                <w:rFonts w:ascii="Arial" w:eastAsia="Calibri" w:hAnsi="Arial" w:cs="Arial"/>
              </w:rPr>
              <w:t>La ventaja competitiva</w:t>
            </w:r>
            <w:r w:rsidR="0078602C" w:rsidRPr="00CA390A">
              <w:rPr>
                <w:rFonts w:ascii="Arial" w:eastAsia="Calibri" w:hAnsi="Arial" w:cs="Arial"/>
              </w:rPr>
              <w:t>.</w:t>
            </w:r>
          </w:p>
          <w:p w:rsidR="005901A2" w:rsidRPr="00CA390A" w:rsidRDefault="005901A2" w:rsidP="00BC000C">
            <w:pPr>
              <w:rPr>
                <w:rFonts w:ascii="Arial" w:hAnsi="Arial" w:cs="Arial"/>
              </w:rPr>
            </w:pPr>
            <w:r w:rsidRPr="00CA390A">
              <w:rPr>
                <w:rFonts w:ascii="Arial" w:hAnsi="Arial" w:cs="Arial"/>
              </w:rPr>
              <w:t xml:space="preserve">Unidad 3: </w:t>
            </w:r>
            <w:r w:rsidR="00BC000C">
              <w:rPr>
                <w:rFonts w:ascii="Arial" w:eastAsia="Calibri" w:hAnsi="Arial" w:cs="Arial"/>
              </w:rPr>
              <w:t>Costo de capital</w:t>
            </w:r>
            <w:r w:rsidR="00181EF1">
              <w:rPr>
                <w:rFonts w:ascii="Arial" w:eastAsia="Calibri" w:hAnsi="Arial" w:cs="Arial"/>
              </w:rPr>
              <w:t xml:space="preserve"> y EVA</w:t>
            </w:r>
          </w:p>
        </w:tc>
      </w:tr>
      <w:tr w:rsidR="005901A2" w:rsidRPr="00CA390A" w:rsidTr="00573552">
        <w:trPr>
          <w:trHeight w:val="557"/>
        </w:trPr>
        <w:tc>
          <w:tcPr>
            <w:tcW w:w="8828" w:type="dxa"/>
            <w:gridSpan w:val="6"/>
            <w:shd w:val="clear" w:color="auto" w:fill="BDD6EE" w:themeFill="accent1" w:themeFillTint="66"/>
          </w:tcPr>
          <w:p w:rsidR="005901A2" w:rsidRPr="00CA390A" w:rsidRDefault="005901A2" w:rsidP="00573552">
            <w:pPr>
              <w:jc w:val="center"/>
              <w:rPr>
                <w:rFonts w:ascii="Arial" w:hAnsi="Arial" w:cs="Arial"/>
                <w:b/>
              </w:rPr>
            </w:pPr>
            <w:r w:rsidRPr="00CA390A">
              <w:rPr>
                <w:rFonts w:ascii="Arial" w:hAnsi="Arial" w:cs="Arial"/>
                <w:b/>
              </w:rPr>
              <w:t>MAPA O ESTRUCTURA DEL MÓDULO</w:t>
            </w:r>
          </w:p>
          <w:p w:rsidR="005901A2" w:rsidRPr="00CA390A" w:rsidRDefault="005901A2" w:rsidP="00573552">
            <w:pPr>
              <w:jc w:val="both"/>
              <w:rPr>
                <w:rFonts w:ascii="Arial" w:hAnsi="Arial" w:cs="Arial"/>
              </w:rPr>
            </w:pPr>
            <w:r w:rsidRPr="00CA390A">
              <w:rPr>
                <w:rFonts w:ascii="Arial" w:hAnsi="Arial" w:cs="Arial"/>
              </w:rPr>
              <w:t>Este punto contempla la realización de un mapa conceptual, diagrama u otro tipo de organizador gráfico que permitan la organización de información y brinden la posibilidad al estudiante de entender de forma rápida la distribución de cada una de las unidades y saberes que componen el contenido temático.</w:t>
            </w:r>
          </w:p>
          <w:p w:rsidR="005901A2" w:rsidRPr="00CA390A" w:rsidRDefault="005901A2" w:rsidP="00573552">
            <w:pPr>
              <w:jc w:val="center"/>
              <w:rPr>
                <w:rFonts w:ascii="Arial" w:hAnsi="Arial" w:cs="Arial"/>
                <w:b/>
              </w:rPr>
            </w:pPr>
          </w:p>
        </w:tc>
      </w:tr>
      <w:tr w:rsidR="005901A2" w:rsidRPr="00CA390A" w:rsidTr="00573552">
        <w:trPr>
          <w:trHeight w:val="1003"/>
        </w:trPr>
        <w:tc>
          <w:tcPr>
            <w:tcW w:w="8828" w:type="dxa"/>
            <w:gridSpan w:val="6"/>
            <w:shd w:val="clear" w:color="auto" w:fill="auto"/>
          </w:tcPr>
          <w:p w:rsidR="005901A2" w:rsidRPr="00CA390A" w:rsidRDefault="005901A2" w:rsidP="00573552">
            <w:pPr>
              <w:rPr>
                <w:rFonts w:ascii="Arial" w:hAnsi="Arial" w:cs="Arial"/>
              </w:rPr>
            </w:pPr>
          </w:p>
        </w:tc>
      </w:tr>
    </w:tbl>
    <w:p w:rsidR="005901A2" w:rsidRPr="00CA390A" w:rsidRDefault="005901A2" w:rsidP="005901A2">
      <w:pPr>
        <w:rPr>
          <w:rFonts w:ascii="Arial" w:hAnsi="Arial" w:cs="Arial"/>
        </w:rPr>
      </w:pPr>
    </w:p>
    <w:p w:rsidR="005901A2" w:rsidRPr="00CA390A" w:rsidRDefault="005901A2" w:rsidP="005901A2">
      <w:pPr>
        <w:rPr>
          <w:rFonts w:ascii="Arial" w:hAnsi="Arial" w:cs="Arial"/>
        </w:rPr>
      </w:pPr>
      <w:r w:rsidRPr="00CA390A">
        <w:rPr>
          <w:rFonts w:ascii="Arial" w:hAnsi="Arial" w:cs="Arial"/>
        </w:rPr>
        <w:t xml:space="preserve">Nota: En educación virtual 1(Un) crédito académico equivale a 48 horas de trabajo que se distribuyen así: </w:t>
      </w:r>
    </w:p>
    <w:p w:rsidR="005901A2" w:rsidRPr="00CA390A" w:rsidRDefault="005901A2" w:rsidP="005901A2">
      <w:pPr>
        <w:rPr>
          <w:rFonts w:ascii="Arial" w:hAnsi="Arial" w:cs="Arial"/>
        </w:rPr>
      </w:pPr>
    </w:p>
    <w:p w:rsidR="005901A2" w:rsidRPr="00CA390A" w:rsidRDefault="005901A2" w:rsidP="005901A2">
      <w:pPr>
        <w:rPr>
          <w:rFonts w:ascii="Arial" w:hAnsi="Arial" w:cs="Arial"/>
        </w:rPr>
      </w:pPr>
      <w:r w:rsidRPr="00CA390A">
        <w:rPr>
          <w:rFonts w:ascii="Arial" w:hAnsi="Arial" w:cs="Arial"/>
          <w:b/>
        </w:rPr>
        <w:t>Trabajo independiente</w:t>
      </w:r>
      <w:r w:rsidRPr="00CA390A">
        <w:rPr>
          <w:rFonts w:ascii="Arial" w:hAnsi="Arial" w:cs="Arial"/>
        </w:rPr>
        <w:t xml:space="preserve">: 42 horas </w:t>
      </w:r>
    </w:p>
    <w:p w:rsidR="005901A2" w:rsidRPr="00CA390A" w:rsidRDefault="005901A2" w:rsidP="005901A2">
      <w:pPr>
        <w:rPr>
          <w:rFonts w:ascii="Arial" w:hAnsi="Arial" w:cs="Arial"/>
        </w:rPr>
      </w:pPr>
      <w:r w:rsidRPr="00CA390A">
        <w:rPr>
          <w:rFonts w:ascii="Arial" w:hAnsi="Arial" w:cs="Arial"/>
          <w:b/>
        </w:rPr>
        <w:t>Acompañamiento tutorial:</w:t>
      </w:r>
      <w:r w:rsidRPr="00CA390A">
        <w:rPr>
          <w:rFonts w:ascii="Arial" w:hAnsi="Arial" w:cs="Arial"/>
        </w:rPr>
        <w:t xml:space="preserve"> 6 horas</w:t>
      </w:r>
    </w:p>
    <w:p w:rsidR="005901A2" w:rsidRPr="00CA390A" w:rsidRDefault="005901A2" w:rsidP="005901A2">
      <w:pPr>
        <w:rPr>
          <w:rFonts w:ascii="Arial" w:hAnsi="Arial" w:cs="Arial"/>
        </w:rPr>
      </w:pPr>
    </w:p>
    <w:p w:rsidR="00250403" w:rsidRPr="00CA390A" w:rsidRDefault="00250403">
      <w:pPr>
        <w:rPr>
          <w:rFonts w:ascii="Arial" w:hAnsi="Arial" w:cs="Arial"/>
        </w:rPr>
      </w:pPr>
    </w:p>
    <w:sectPr w:rsidR="00250403" w:rsidRPr="00CA39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2D3A"/>
    <w:multiLevelType w:val="hybridMultilevel"/>
    <w:tmpl w:val="8152AF1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
    <w:nsid w:val="0A5D4DBB"/>
    <w:multiLevelType w:val="hybridMultilevel"/>
    <w:tmpl w:val="C44042B2"/>
    <w:lvl w:ilvl="0" w:tplc="03C6468C">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121972EA"/>
    <w:multiLevelType w:val="hybridMultilevel"/>
    <w:tmpl w:val="2A382A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FD08AF"/>
    <w:multiLevelType w:val="hybridMultilevel"/>
    <w:tmpl w:val="C9265CDE"/>
    <w:lvl w:ilvl="0" w:tplc="6A641214">
      <w:numFmt w:val="bullet"/>
      <w:lvlText w:val="•"/>
      <w:lvlJc w:val="left"/>
      <w:pPr>
        <w:ind w:left="705" w:hanging="705"/>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4D1151DA"/>
    <w:multiLevelType w:val="hybridMultilevel"/>
    <w:tmpl w:val="494AEAFE"/>
    <w:lvl w:ilvl="0" w:tplc="C2A4B30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75F2217"/>
    <w:multiLevelType w:val="hybridMultilevel"/>
    <w:tmpl w:val="F1E0E1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7D9564D"/>
    <w:multiLevelType w:val="hybridMultilevel"/>
    <w:tmpl w:val="9B128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ED014E2"/>
    <w:multiLevelType w:val="hybridMultilevel"/>
    <w:tmpl w:val="1046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52"/>
    <w:rsid w:val="0002028F"/>
    <w:rsid w:val="00181EF1"/>
    <w:rsid w:val="001B1DA9"/>
    <w:rsid w:val="00250403"/>
    <w:rsid w:val="002622B1"/>
    <w:rsid w:val="002702A5"/>
    <w:rsid w:val="002E740A"/>
    <w:rsid w:val="00316523"/>
    <w:rsid w:val="004867D5"/>
    <w:rsid w:val="00573552"/>
    <w:rsid w:val="005901A2"/>
    <w:rsid w:val="005E7974"/>
    <w:rsid w:val="005F2EA7"/>
    <w:rsid w:val="00621061"/>
    <w:rsid w:val="00632F47"/>
    <w:rsid w:val="00664750"/>
    <w:rsid w:val="006932F5"/>
    <w:rsid w:val="0078602C"/>
    <w:rsid w:val="0084426C"/>
    <w:rsid w:val="008F6D56"/>
    <w:rsid w:val="009F373E"/>
    <w:rsid w:val="00AD144C"/>
    <w:rsid w:val="00B0327A"/>
    <w:rsid w:val="00B66452"/>
    <w:rsid w:val="00B8279D"/>
    <w:rsid w:val="00B90E18"/>
    <w:rsid w:val="00BA0A93"/>
    <w:rsid w:val="00BC000C"/>
    <w:rsid w:val="00C34E96"/>
    <w:rsid w:val="00C411C5"/>
    <w:rsid w:val="00C56C57"/>
    <w:rsid w:val="00CA390A"/>
    <w:rsid w:val="00D52F26"/>
    <w:rsid w:val="00DA1559"/>
    <w:rsid w:val="00EE0CD5"/>
    <w:rsid w:val="00F30CB9"/>
    <w:rsid w:val="00F87AD3"/>
    <w:rsid w:val="00FB58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BB3DD-6BD3-4FCB-8A4B-254E2C85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1A2"/>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autoRedefine/>
    <w:uiPriority w:val="9"/>
    <w:unhideWhenUsed/>
    <w:qFormat/>
    <w:rsid w:val="00B0327A"/>
    <w:pPr>
      <w:keepNext/>
      <w:keepLines/>
      <w:spacing w:before="200" w:line="276" w:lineRule="auto"/>
      <w:ind w:left="576" w:hanging="576"/>
      <w:jc w:val="both"/>
      <w:outlineLvl w:val="1"/>
    </w:pPr>
    <w:rPr>
      <w:rFonts w:ascii="Arial" w:eastAsiaTheme="majorEastAsia" w:hAnsi="Arial" w:cs="Arial"/>
      <w:bCs/>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90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B8279D"/>
    <w:pPr>
      <w:ind w:left="720"/>
      <w:contextualSpacing/>
    </w:pPr>
  </w:style>
  <w:style w:type="character" w:customStyle="1" w:styleId="PrrafodelistaCar">
    <w:name w:val="Párrafo de lista Car"/>
    <w:basedOn w:val="Fuentedeprrafopredeter"/>
    <w:link w:val="Prrafodelista"/>
    <w:uiPriority w:val="34"/>
    <w:locked/>
    <w:rsid w:val="00F30CB9"/>
    <w:rPr>
      <w:rFonts w:ascii="Times New Roman" w:eastAsia="Times New Roman" w:hAnsi="Times New Roman" w:cs="Times New Roman"/>
      <w:sz w:val="20"/>
      <w:szCs w:val="20"/>
      <w:lang w:val="es-ES_tradnl" w:eastAsia="es-ES"/>
    </w:rPr>
  </w:style>
  <w:style w:type="paragraph" w:styleId="Sinespaciado">
    <w:name w:val="No Spacing"/>
    <w:uiPriority w:val="1"/>
    <w:qFormat/>
    <w:rsid w:val="0002028F"/>
    <w:pPr>
      <w:spacing w:after="0" w:line="240" w:lineRule="auto"/>
    </w:pPr>
    <w:rPr>
      <w:rFonts w:ascii="Times New Roman" w:hAnsi="Times New Roman"/>
      <w:sz w:val="24"/>
    </w:rPr>
  </w:style>
  <w:style w:type="character" w:customStyle="1" w:styleId="Ttulo2Car">
    <w:name w:val="Título 2 Car"/>
    <w:basedOn w:val="Fuentedeprrafopredeter"/>
    <w:link w:val="Ttulo2"/>
    <w:uiPriority w:val="9"/>
    <w:rsid w:val="00B0327A"/>
    <w:rPr>
      <w:rFonts w:ascii="Arial" w:eastAsiaTheme="majorEastAsia" w:hAnsi="Arial" w:cs="Arial"/>
      <w:bCs/>
      <w:sz w:val="20"/>
      <w:szCs w:val="2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9ECAF-A649-49BE-81EB-99A9526B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652</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  Johana Hernández Causil</dc:creator>
  <cp:keywords/>
  <dc:description/>
  <cp:lastModifiedBy>rene carlos paredes stave</cp:lastModifiedBy>
  <cp:revision>30</cp:revision>
  <dcterms:created xsi:type="dcterms:W3CDTF">2015-08-14T14:27:00Z</dcterms:created>
  <dcterms:modified xsi:type="dcterms:W3CDTF">2016-05-16T21:07:00Z</dcterms:modified>
</cp:coreProperties>
</file>